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微软雅黑" w:hAnsi="微软雅黑" w:eastAsia="微软雅黑" w:cs="宋体"/>
          <w:spacing w:val="8"/>
          <w:kern w:val="0"/>
          <w:sz w:val="26"/>
          <w:szCs w:val="26"/>
        </w:rPr>
      </w:pPr>
      <w:r>
        <w:rPr>
          <w:rFonts w:hint="eastAsia" w:ascii="微软雅黑" w:hAnsi="微软雅黑" w:eastAsia="微软雅黑" w:cs="宋体"/>
          <w:b/>
          <w:bCs/>
          <w:spacing w:val="8"/>
          <w:kern w:val="0"/>
          <w:sz w:val="36"/>
          <w:szCs w:val="36"/>
        </w:rPr>
        <w:t>工伤保险待遇速查表</w:t>
      </w:r>
    </w:p>
    <w:tbl>
      <w:tblPr>
        <w:tblStyle w:val="4"/>
        <w:tblpPr w:leftFromText="45" w:rightFromText="45" w:bottomFromText="150" w:vertAnchor="text"/>
        <w:tblW w:w="9889" w:type="dxa"/>
        <w:tblInd w:w="0" w:type="dxa"/>
        <w:shd w:val="clear" w:color="auto" w:fill="FFFFFF"/>
        <w:tblLayout w:type="autofit"/>
        <w:tblCellMar>
          <w:top w:w="0" w:type="dxa"/>
          <w:left w:w="0" w:type="dxa"/>
          <w:bottom w:w="0" w:type="dxa"/>
          <w:right w:w="0" w:type="dxa"/>
        </w:tblCellMar>
      </w:tblPr>
      <w:tblGrid>
        <w:gridCol w:w="933"/>
        <w:gridCol w:w="1311"/>
        <w:gridCol w:w="1000"/>
        <w:gridCol w:w="1778"/>
        <w:gridCol w:w="1733"/>
        <w:gridCol w:w="1575"/>
        <w:gridCol w:w="1559"/>
      </w:tblGrid>
      <w:tr>
        <w:tblPrEx>
          <w:shd w:val="clear" w:color="auto" w:fill="FFFFFF"/>
          <w:tblCellMar>
            <w:top w:w="0" w:type="dxa"/>
            <w:left w:w="0" w:type="dxa"/>
            <w:bottom w:w="0" w:type="dxa"/>
            <w:right w:w="0" w:type="dxa"/>
          </w:tblCellMar>
        </w:tblPrEx>
        <w:trPr>
          <w:trHeight w:val="240" w:hRule="atLeast"/>
        </w:trPr>
        <w:tc>
          <w:tcPr>
            <w:tcW w:w="933"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工伤医疗相关待遇</w:t>
            </w:r>
          </w:p>
        </w:tc>
        <w:tc>
          <w:tcPr>
            <w:tcW w:w="2311" w:type="dxa"/>
            <w:gridSpan w:val="2"/>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*医疗费</w:t>
            </w:r>
          </w:p>
        </w:tc>
        <w:tc>
          <w:tcPr>
            <w:tcW w:w="6645" w:type="dxa"/>
            <w:gridSpan w:val="4"/>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符合工伤保险诊疗项目、药品目录和住院服务标准的由工伤保险基金支付</w:t>
            </w:r>
          </w:p>
        </w:tc>
      </w:tr>
      <w:tr>
        <w:tblPrEx>
          <w:tblCellMar>
            <w:top w:w="0" w:type="dxa"/>
            <w:left w:w="0" w:type="dxa"/>
            <w:bottom w:w="0" w:type="dxa"/>
            <w:right w:w="0" w:type="dxa"/>
          </w:tblCellMar>
        </w:tblPrEx>
        <w:trPr>
          <w:trHeight w:val="240"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*住院伙食补助</w:t>
            </w:r>
          </w:p>
        </w:tc>
        <w:tc>
          <w:tcPr>
            <w:tcW w:w="664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由工伤保险基金按标准支付</w:t>
            </w:r>
          </w:p>
        </w:tc>
      </w:tr>
      <w:tr>
        <w:tblPrEx>
          <w:tblCellMar>
            <w:top w:w="0" w:type="dxa"/>
            <w:left w:w="0" w:type="dxa"/>
            <w:bottom w:w="0" w:type="dxa"/>
            <w:right w:w="0" w:type="dxa"/>
          </w:tblCellMar>
        </w:tblPrEx>
        <w:trPr>
          <w:trHeight w:val="240"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*统筹地区外交通费</w:t>
            </w:r>
          </w:p>
        </w:tc>
        <w:tc>
          <w:tcPr>
            <w:tcW w:w="664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由工伤保险基金按标准支付</w:t>
            </w:r>
          </w:p>
        </w:tc>
      </w:tr>
      <w:tr>
        <w:tblPrEx>
          <w:tblCellMar>
            <w:top w:w="0" w:type="dxa"/>
            <w:left w:w="0" w:type="dxa"/>
            <w:bottom w:w="0" w:type="dxa"/>
            <w:right w:w="0" w:type="dxa"/>
          </w:tblCellMar>
        </w:tblPrEx>
        <w:trPr>
          <w:trHeight w:val="240"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*统筹地区外住宿费</w:t>
            </w:r>
          </w:p>
        </w:tc>
        <w:tc>
          <w:tcPr>
            <w:tcW w:w="664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由工伤保险基金按标准支付</w:t>
            </w:r>
          </w:p>
        </w:tc>
      </w:tr>
      <w:tr>
        <w:tblPrEx>
          <w:tblCellMar>
            <w:top w:w="0" w:type="dxa"/>
            <w:left w:w="0" w:type="dxa"/>
            <w:bottom w:w="0" w:type="dxa"/>
            <w:right w:w="0" w:type="dxa"/>
          </w:tblCellMar>
        </w:tblPrEx>
        <w:trPr>
          <w:trHeight w:val="240"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*工伤康复费</w:t>
            </w:r>
          </w:p>
        </w:tc>
        <w:tc>
          <w:tcPr>
            <w:tcW w:w="664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按照基本医疗保险办法处理</w:t>
            </w:r>
          </w:p>
        </w:tc>
      </w:tr>
      <w:tr>
        <w:tblPrEx>
          <w:tblCellMar>
            <w:top w:w="0" w:type="dxa"/>
            <w:left w:w="0" w:type="dxa"/>
            <w:bottom w:w="0" w:type="dxa"/>
            <w:right w:w="0" w:type="dxa"/>
          </w:tblCellMar>
        </w:tblPrEx>
        <w:trPr>
          <w:trHeight w:val="240"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停工留薪期工资福利</w:t>
            </w:r>
          </w:p>
        </w:tc>
        <w:tc>
          <w:tcPr>
            <w:tcW w:w="664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在停工留薪期内原工资福利待遇不变，由所在单位支付</w:t>
            </w:r>
          </w:p>
        </w:tc>
      </w:tr>
      <w:tr>
        <w:tblPrEx>
          <w:tblCellMar>
            <w:top w:w="0" w:type="dxa"/>
            <w:left w:w="0" w:type="dxa"/>
            <w:bottom w:w="0" w:type="dxa"/>
            <w:right w:w="0" w:type="dxa"/>
          </w:tblCellMar>
        </w:tblPrEx>
        <w:trPr>
          <w:trHeight w:val="240"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停工留薪期护理费</w:t>
            </w:r>
          </w:p>
        </w:tc>
        <w:tc>
          <w:tcPr>
            <w:tcW w:w="664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在停工留薪期需要护理的，由所在单位支付</w:t>
            </w:r>
          </w:p>
        </w:tc>
      </w:tr>
      <w:tr>
        <w:tblPrEx>
          <w:tblCellMar>
            <w:top w:w="0" w:type="dxa"/>
            <w:left w:w="0" w:type="dxa"/>
            <w:bottom w:w="0" w:type="dxa"/>
            <w:right w:w="0" w:type="dxa"/>
          </w:tblCellMar>
        </w:tblPrEx>
        <w:trPr>
          <w:trHeight w:val="240" w:hRule="atLeast"/>
        </w:trPr>
        <w:tc>
          <w:tcPr>
            <w:tcW w:w="93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因工伤残待遇</w:t>
            </w:r>
          </w:p>
        </w:tc>
        <w:tc>
          <w:tcPr>
            <w:tcW w:w="2311" w:type="dxa"/>
            <w:gridSpan w:val="2"/>
            <w:vMerge w:val="restar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wordWrap w:val="0"/>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补偿类别</w:t>
            </w:r>
          </w:p>
        </w:tc>
        <w:tc>
          <w:tcPr>
            <w:tcW w:w="177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伤残津贴</w:t>
            </w:r>
          </w:p>
        </w:tc>
        <w:tc>
          <w:tcPr>
            <w:tcW w:w="486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一次性待遇</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0" w:type="auto"/>
            <w:gridSpan w:val="2"/>
            <w:vMerge w:val="continue"/>
            <w:tcBorders>
              <w:top w:val="nil"/>
              <w:left w:val="nil"/>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*伤残补助金</w:t>
            </w:r>
          </w:p>
        </w:tc>
        <w:tc>
          <w:tcPr>
            <w:tcW w:w="15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*工伤医疗补助金</w:t>
            </w:r>
          </w:p>
        </w:tc>
        <w:tc>
          <w:tcPr>
            <w:tcW w:w="15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伤残就业补助金</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31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完全丧失劳动能力</w:t>
            </w:r>
          </w:p>
        </w:tc>
        <w:tc>
          <w:tcPr>
            <w:tcW w:w="10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ascii="Times New Roman" w:hAnsi="Times New Roman" w:eastAsia="微软雅黑" w:cs="Times New Roman"/>
                <w:color w:val="000000"/>
                <w:spacing w:val="8"/>
                <w:kern w:val="0"/>
                <w:sz w:val="18"/>
                <w:szCs w:val="18"/>
              </w:rPr>
              <w:t>1</w:t>
            </w:r>
            <w:r>
              <w:rPr>
                <w:rFonts w:hint="eastAsia" w:ascii="宋体" w:hAnsi="宋体" w:eastAsia="宋体" w:cs="宋体"/>
                <w:color w:val="000000"/>
                <w:spacing w:val="8"/>
                <w:kern w:val="0"/>
                <w:sz w:val="18"/>
                <w:szCs w:val="18"/>
              </w:rPr>
              <w:t>级</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*本人工资的90%</w:t>
            </w: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27个月</w:t>
            </w:r>
          </w:p>
        </w:tc>
        <w:tc>
          <w:tcPr>
            <w:tcW w:w="1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0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ascii="Times New Roman" w:hAnsi="Times New Roman" w:eastAsia="微软雅黑" w:cs="Times New Roman"/>
                <w:color w:val="000000"/>
                <w:spacing w:val="8"/>
                <w:kern w:val="0"/>
                <w:sz w:val="18"/>
                <w:szCs w:val="18"/>
              </w:rPr>
              <w:t>2</w:t>
            </w:r>
            <w:r>
              <w:rPr>
                <w:rFonts w:hint="eastAsia" w:ascii="宋体" w:hAnsi="宋体" w:eastAsia="宋体" w:cs="宋体"/>
                <w:color w:val="000000"/>
                <w:spacing w:val="8"/>
                <w:kern w:val="0"/>
                <w:sz w:val="18"/>
                <w:szCs w:val="18"/>
              </w:rPr>
              <w:t>级</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*本人工资的85%</w:t>
            </w: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25个月</w:t>
            </w:r>
          </w:p>
        </w:tc>
        <w:tc>
          <w:tcPr>
            <w:tcW w:w="1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0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ascii="Times New Roman" w:hAnsi="Times New Roman" w:eastAsia="微软雅黑" w:cs="Times New Roman"/>
                <w:color w:val="000000"/>
                <w:spacing w:val="8"/>
                <w:kern w:val="0"/>
                <w:sz w:val="18"/>
                <w:szCs w:val="18"/>
              </w:rPr>
              <w:t>3</w:t>
            </w:r>
            <w:r>
              <w:rPr>
                <w:rFonts w:hint="eastAsia" w:ascii="宋体" w:hAnsi="宋体" w:eastAsia="宋体" w:cs="宋体"/>
                <w:color w:val="000000"/>
                <w:spacing w:val="8"/>
                <w:kern w:val="0"/>
                <w:sz w:val="18"/>
                <w:szCs w:val="18"/>
              </w:rPr>
              <w:t>级</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*本人工资的80%</w:t>
            </w: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23个月</w:t>
            </w:r>
          </w:p>
        </w:tc>
        <w:tc>
          <w:tcPr>
            <w:tcW w:w="1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0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ascii="Times New Roman" w:hAnsi="Times New Roman" w:eastAsia="微软雅黑" w:cs="Times New Roman"/>
                <w:color w:val="000000"/>
                <w:spacing w:val="8"/>
                <w:kern w:val="0"/>
                <w:sz w:val="18"/>
                <w:szCs w:val="18"/>
              </w:rPr>
              <w:t>4</w:t>
            </w:r>
            <w:r>
              <w:rPr>
                <w:rFonts w:hint="eastAsia" w:ascii="宋体" w:hAnsi="宋体" w:eastAsia="宋体" w:cs="宋体"/>
                <w:color w:val="000000"/>
                <w:spacing w:val="8"/>
                <w:kern w:val="0"/>
                <w:sz w:val="18"/>
                <w:szCs w:val="18"/>
              </w:rPr>
              <w:t>级</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*本人工资的75%</w:t>
            </w: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21个月</w:t>
            </w:r>
          </w:p>
        </w:tc>
        <w:tc>
          <w:tcPr>
            <w:tcW w:w="1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31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大部分丧失劳动能力</w:t>
            </w:r>
          </w:p>
        </w:tc>
        <w:tc>
          <w:tcPr>
            <w:tcW w:w="10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ascii="Times New Roman" w:hAnsi="Times New Roman" w:eastAsia="微软雅黑" w:cs="Times New Roman"/>
                <w:color w:val="000000"/>
                <w:spacing w:val="8"/>
                <w:kern w:val="0"/>
                <w:sz w:val="18"/>
                <w:szCs w:val="18"/>
              </w:rPr>
              <w:t>5</w:t>
            </w:r>
            <w:r>
              <w:rPr>
                <w:rFonts w:hint="eastAsia" w:ascii="宋体" w:hAnsi="宋体" w:eastAsia="宋体" w:cs="宋体"/>
                <w:color w:val="000000"/>
                <w:spacing w:val="8"/>
                <w:kern w:val="0"/>
                <w:sz w:val="18"/>
                <w:szCs w:val="18"/>
              </w:rPr>
              <w:t>级</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　　70%</w:t>
            </w: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18个月</w:t>
            </w:r>
          </w:p>
        </w:tc>
        <w:tc>
          <w:tcPr>
            <w:tcW w:w="1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24个月</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36个月</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0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ascii="Times New Roman" w:hAnsi="Times New Roman" w:eastAsia="微软雅黑" w:cs="Times New Roman"/>
                <w:color w:val="000000"/>
                <w:spacing w:val="8"/>
                <w:kern w:val="0"/>
                <w:sz w:val="18"/>
                <w:szCs w:val="18"/>
              </w:rPr>
              <w:t>6</w:t>
            </w:r>
            <w:r>
              <w:rPr>
                <w:rFonts w:hint="eastAsia" w:ascii="宋体" w:hAnsi="宋体" w:eastAsia="宋体" w:cs="宋体"/>
                <w:color w:val="000000"/>
                <w:spacing w:val="8"/>
                <w:kern w:val="0"/>
                <w:sz w:val="18"/>
                <w:szCs w:val="18"/>
              </w:rPr>
              <w:t>级</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　　60%</w:t>
            </w: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16个月</w:t>
            </w:r>
          </w:p>
        </w:tc>
        <w:tc>
          <w:tcPr>
            <w:tcW w:w="1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18个月</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30个月</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31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部分丧失劳动能力</w:t>
            </w:r>
          </w:p>
        </w:tc>
        <w:tc>
          <w:tcPr>
            <w:tcW w:w="10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ascii="Times New Roman" w:hAnsi="Times New Roman" w:eastAsia="微软雅黑" w:cs="Times New Roman"/>
                <w:color w:val="000000"/>
                <w:spacing w:val="8"/>
                <w:kern w:val="0"/>
                <w:sz w:val="18"/>
                <w:szCs w:val="18"/>
              </w:rPr>
              <w:t>7</w:t>
            </w:r>
            <w:r>
              <w:rPr>
                <w:rFonts w:hint="eastAsia" w:ascii="宋体" w:hAnsi="宋体" w:eastAsia="宋体" w:cs="宋体"/>
                <w:color w:val="000000"/>
                <w:spacing w:val="8"/>
                <w:kern w:val="0"/>
                <w:sz w:val="18"/>
                <w:szCs w:val="18"/>
              </w:rPr>
              <w:t>级</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spacing w:val="8"/>
                <w:kern w:val="0"/>
                <w:szCs w:val="21"/>
              </w:rPr>
              <w:t>——</w:t>
            </w: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13个月</w:t>
            </w:r>
          </w:p>
        </w:tc>
        <w:tc>
          <w:tcPr>
            <w:tcW w:w="1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15个月</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15个月</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0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ascii="Times New Roman" w:hAnsi="Times New Roman" w:eastAsia="微软雅黑" w:cs="Times New Roman"/>
                <w:color w:val="000000"/>
                <w:spacing w:val="8"/>
                <w:kern w:val="0"/>
                <w:sz w:val="18"/>
                <w:szCs w:val="18"/>
              </w:rPr>
              <w:t>8</w:t>
            </w:r>
            <w:r>
              <w:rPr>
                <w:rFonts w:hint="eastAsia" w:ascii="宋体" w:hAnsi="宋体" w:eastAsia="宋体" w:cs="宋体"/>
                <w:color w:val="000000"/>
                <w:spacing w:val="8"/>
                <w:kern w:val="0"/>
                <w:sz w:val="18"/>
                <w:szCs w:val="18"/>
              </w:rPr>
              <w:t>级</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spacing w:val="8"/>
                <w:kern w:val="0"/>
                <w:szCs w:val="21"/>
              </w:rPr>
              <w:t>——</w:t>
            </w: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11个月</w:t>
            </w:r>
          </w:p>
        </w:tc>
        <w:tc>
          <w:tcPr>
            <w:tcW w:w="1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10个月</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10个月</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0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ascii="Times New Roman" w:hAnsi="Times New Roman" w:eastAsia="微软雅黑" w:cs="Times New Roman"/>
                <w:color w:val="000000"/>
                <w:spacing w:val="8"/>
                <w:kern w:val="0"/>
                <w:sz w:val="18"/>
                <w:szCs w:val="18"/>
              </w:rPr>
              <w:t>9</w:t>
            </w:r>
            <w:r>
              <w:rPr>
                <w:rFonts w:hint="eastAsia" w:ascii="宋体" w:hAnsi="宋体" w:eastAsia="宋体" w:cs="宋体"/>
                <w:color w:val="000000"/>
                <w:spacing w:val="8"/>
                <w:kern w:val="0"/>
                <w:sz w:val="18"/>
                <w:szCs w:val="18"/>
              </w:rPr>
              <w:t>级</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spacing w:val="8"/>
                <w:kern w:val="0"/>
                <w:szCs w:val="21"/>
              </w:rPr>
              <w:t>——</w:t>
            </w: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9个月</w:t>
            </w:r>
          </w:p>
        </w:tc>
        <w:tc>
          <w:tcPr>
            <w:tcW w:w="1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8个月</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8个月</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center"/>
              <w:rPr>
                <w:rFonts w:ascii="微软雅黑" w:hAnsi="微软雅黑" w:eastAsia="微软雅黑" w:cs="宋体"/>
                <w:spacing w:val="8"/>
                <w:kern w:val="0"/>
                <w:sz w:val="26"/>
                <w:szCs w:val="26"/>
              </w:rPr>
            </w:pPr>
          </w:p>
        </w:tc>
        <w:tc>
          <w:tcPr>
            <w:tcW w:w="10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ascii="Times New Roman" w:hAnsi="Times New Roman" w:eastAsia="微软雅黑" w:cs="Times New Roman"/>
                <w:color w:val="000000"/>
                <w:spacing w:val="8"/>
                <w:kern w:val="0"/>
                <w:sz w:val="18"/>
                <w:szCs w:val="18"/>
              </w:rPr>
              <w:t>10</w:t>
            </w:r>
            <w:r>
              <w:rPr>
                <w:rFonts w:hint="eastAsia" w:ascii="宋体" w:hAnsi="宋体" w:eastAsia="宋体" w:cs="宋体"/>
                <w:color w:val="000000"/>
                <w:spacing w:val="8"/>
                <w:kern w:val="0"/>
                <w:sz w:val="18"/>
                <w:szCs w:val="18"/>
              </w:rPr>
              <w:t>级</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spacing w:val="8"/>
                <w:kern w:val="0"/>
                <w:szCs w:val="21"/>
              </w:rPr>
              <w:t>——</w:t>
            </w:r>
          </w:p>
        </w:tc>
        <w:tc>
          <w:tcPr>
            <w:tcW w:w="1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7个月</w:t>
            </w:r>
          </w:p>
        </w:tc>
        <w:tc>
          <w:tcPr>
            <w:tcW w:w="1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6个月</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本人工资的</w:t>
            </w:r>
          </w:p>
          <w:p>
            <w:pPr>
              <w:spacing w:line="200" w:lineRule="exact"/>
              <w:jc w:val="center"/>
            </w:pPr>
            <w:r>
              <w:rPr>
                <w:rFonts w:hint="eastAsia"/>
              </w:rPr>
              <w:t>6个月</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护理费(按月发）</w:t>
            </w: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w:t>
            </w:r>
            <w:r>
              <w:rPr>
                <w:rFonts w:hint="eastAsia" w:ascii="宋体" w:hAnsi="宋体" w:eastAsia="宋体" w:cs="宋体"/>
                <w:color w:val="000000"/>
                <w:spacing w:val="8"/>
                <w:kern w:val="0"/>
                <w:sz w:val="18"/>
                <w:szCs w:val="18"/>
              </w:rPr>
              <w:t>全部护理依赖</w:t>
            </w:r>
          </w:p>
        </w:tc>
        <w:tc>
          <w:tcPr>
            <w:tcW w:w="486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统筹地区职工上年度职工平均工资的50%</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0" w:type="auto"/>
            <w:gridSpan w:val="2"/>
            <w:vMerge w:val="continue"/>
            <w:tcBorders>
              <w:top w:val="nil"/>
              <w:left w:val="nil"/>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w:t>
            </w:r>
            <w:r>
              <w:rPr>
                <w:rFonts w:hint="eastAsia" w:ascii="宋体" w:hAnsi="宋体" w:eastAsia="宋体" w:cs="宋体"/>
                <w:color w:val="000000"/>
                <w:spacing w:val="8"/>
                <w:kern w:val="0"/>
                <w:sz w:val="18"/>
                <w:szCs w:val="18"/>
              </w:rPr>
              <w:t>大部分护理依赖</w:t>
            </w:r>
          </w:p>
        </w:tc>
        <w:tc>
          <w:tcPr>
            <w:tcW w:w="486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统筹地区职工上年度职工平均工资的40%</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0" w:type="auto"/>
            <w:gridSpan w:val="2"/>
            <w:vMerge w:val="continue"/>
            <w:tcBorders>
              <w:top w:val="nil"/>
              <w:left w:val="nil"/>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17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w:t>
            </w:r>
            <w:r>
              <w:rPr>
                <w:rFonts w:hint="eastAsia" w:ascii="宋体" w:hAnsi="宋体" w:eastAsia="宋体" w:cs="宋体"/>
                <w:color w:val="000000"/>
                <w:spacing w:val="8"/>
                <w:kern w:val="0"/>
                <w:sz w:val="18"/>
                <w:szCs w:val="18"/>
              </w:rPr>
              <w:t>部分护理依赖</w:t>
            </w:r>
          </w:p>
        </w:tc>
        <w:tc>
          <w:tcPr>
            <w:tcW w:w="486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统筹地区职工上年度职工平均工资的30%</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*辅助器具费</w:t>
            </w:r>
          </w:p>
        </w:tc>
        <w:tc>
          <w:tcPr>
            <w:tcW w:w="6645" w:type="dxa"/>
            <w:gridSpan w:val="4"/>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需要配置残疾辅助器具的，经劳动鉴定委员会确认，按国家规定的标准支付</w:t>
            </w:r>
          </w:p>
        </w:tc>
      </w:tr>
      <w:tr>
        <w:tblPrEx>
          <w:tblCellMar>
            <w:top w:w="0" w:type="dxa"/>
            <w:left w:w="0" w:type="dxa"/>
            <w:bottom w:w="0" w:type="dxa"/>
            <w:right w:w="0" w:type="dxa"/>
          </w:tblCellMar>
        </w:tblPrEx>
        <w:trPr>
          <w:trHeight w:val="240" w:hRule="atLeast"/>
        </w:trPr>
        <w:tc>
          <w:tcPr>
            <w:tcW w:w="93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因工死亡待遇</w:t>
            </w:r>
          </w:p>
        </w:tc>
        <w:tc>
          <w:tcPr>
            <w:tcW w:w="23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*丧葬补助金</w:t>
            </w:r>
          </w:p>
        </w:tc>
        <w:tc>
          <w:tcPr>
            <w:tcW w:w="664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统筹地区职工上年度职工平均工资×</w:t>
            </w:r>
            <w:r>
              <w:rPr>
                <w:rFonts w:ascii="Times New Roman" w:hAnsi="Times New Roman" w:eastAsia="微软雅黑" w:cs="Times New Roman"/>
                <w:color w:val="000000"/>
                <w:spacing w:val="8"/>
                <w:kern w:val="0"/>
                <w:sz w:val="18"/>
                <w:szCs w:val="18"/>
              </w:rPr>
              <w:t>6</w:t>
            </w:r>
            <w:r>
              <w:rPr>
                <w:rFonts w:hint="eastAsia" w:ascii="宋体" w:hAnsi="宋体" w:eastAsia="宋体" w:cs="宋体"/>
                <w:color w:val="000000"/>
                <w:spacing w:val="8"/>
                <w:kern w:val="0"/>
                <w:sz w:val="18"/>
                <w:szCs w:val="18"/>
              </w:rPr>
              <w:t>个月</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20"/>
                <w:szCs w:val="20"/>
              </w:rPr>
              <w:t>*一次性工亡补助金</w:t>
            </w:r>
          </w:p>
        </w:tc>
        <w:tc>
          <w:tcPr>
            <w:tcW w:w="664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为上一年度全国城镇居民人均可支配收入的20倍</w:t>
            </w:r>
          </w:p>
        </w:tc>
      </w:tr>
      <w:tr>
        <w:tblPrEx>
          <w:tblCellMar>
            <w:top w:w="0" w:type="dxa"/>
            <w:left w:w="0" w:type="dxa"/>
            <w:bottom w:w="0" w:type="dxa"/>
            <w:right w:w="0" w:type="dxa"/>
          </w:tblCellMar>
        </w:tblPrEx>
        <w:trPr>
          <w:trHeight w:val="426"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hint="eastAsia" w:ascii="宋体" w:hAnsi="宋体" w:eastAsia="宋体" w:cs="宋体"/>
                <w:color w:val="000000"/>
                <w:spacing w:val="8"/>
                <w:kern w:val="0"/>
                <w:sz w:val="20"/>
                <w:szCs w:val="20"/>
              </w:rPr>
            </w:pPr>
          </w:p>
        </w:tc>
        <w:tc>
          <w:tcPr>
            <w:tcW w:w="6645" w:type="dxa"/>
            <w:gridSpan w:val="4"/>
            <w:tcBorders>
              <w:top w:val="nil"/>
              <w:left w:val="nil"/>
              <w:bottom w:val="nil"/>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配偶：工亡职工本人工资×</w:t>
            </w:r>
            <w:r>
              <w:t>40%</w:t>
            </w:r>
          </w:p>
        </w:tc>
      </w:tr>
      <w:tr>
        <w:tblPrEx>
          <w:tblCellMar>
            <w:top w:w="0" w:type="dxa"/>
            <w:left w:w="0" w:type="dxa"/>
            <w:bottom w:w="0" w:type="dxa"/>
            <w:right w:w="0" w:type="dxa"/>
          </w:tblCellMar>
        </w:tblPrEx>
        <w:trPr>
          <w:trHeight w:val="441"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hint="eastAsia" w:ascii="宋体" w:hAnsi="宋体" w:eastAsia="宋体" w:cs="宋体"/>
                <w:color w:val="000000"/>
                <w:spacing w:val="8"/>
                <w:kern w:val="0"/>
                <w:sz w:val="20"/>
                <w:szCs w:val="20"/>
              </w:rPr>
            </w:pPr>
            <w:r>
              <w:rPr>
                <w:rFonts w:hint="eastAsia" w:ascii="宋体" w:hAnsi="宋体" w:eastAsia="宋体" w:cs="宋体"/>
                <w:color w:val="000000"/>
                <w:spacing w:val="8"/>
                <w:kern w:val="0"/>
                <w:sz w:val="20"/>
                <w:szCs w:val="20"/>
              </w:rPr>
              <w:t>*供养亲属抚恤金</w:t>
            </w:r>
          </w:p>
        </w:tc>
        <w:tc>
          <w:tcPr>
            <w:tcW w:w="6645" w:type="dxa"/>
            <w:gridSpan w:val="4"/>
            <w:tcBorders>
              <w:top w:val="nil"/>
              <w:left w:val="nil"/>
              <w:bottom w:val="nil"/>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其他供养亲属：工亡职工本人工资×</w:t>
            </w:r>
            <w:r>
              <w:t>30%</w:t>
            </w:r>
          </w:p>
        </w:tc>
      </w:tr>
      <w:tr>
        <w:tblPrEx>
          <w:tblCellMar>
            <w:top w:w="0" w:type="dxa"/>
            <w:left w:w="0" w:type="dxa"/>
            <w:bottom w:w="0" w:type="dxa"/>
            <w:right w:w="0" w:type="dxa"/>
          </w:tblCellMar>
        </w:tblPrEx>
        <w:trPr>
          <w:trHeight w:val="482"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hint="eastAsia" w:ascii="宋体" w:hAnsi="宋体" w:eastAsia="宋体" w:cs="宋体"/>
                <w:color w:val="000000"/>
                <w:spacing w:val="8"/>
                <w:kern w:val="0"/>
                <w:sz w:val="20"/>
                <w:szCs w:val="20"/>
              </w:rPr>
            </w:pPr>
            <w:r>
              <w:rPr>
                <w:rFonts w:hint="eastAsia" w:ascii="宋体" w:hAnsi="宋体" w:eastAsia="宋体" w:cs="宋体"/>
                <w:color w:val="000000"/>
                <w:spacing w:val="8"/>
                <w:kern w:val="0"/>
                <w:sz w:val="20"/>
                <w:szCs w:val="20"/>
              </w:rPr>
              <w:t>（按月发）</w:t>
            </w:r>
          </w:p>
        </w:tc>
        <w:tc>
          <w:tcPr>
            <w:tcW w:w="6645" w:type="dxa"/>
            <w:gridSpan w:val="4"/>
            <w:tcBorders>
              <w:top w:val="nil"/>
              <w:left w:val="nil"/>
              <w:bottom w:val="nil"/>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孤寡老人或孤儿：上两项标准的基础上加工亡职工本人工资的</w:t>
            </w:r>
            <w:r>
              <w:t>10%</w:t>
            </w:r>
          </w:p>
        </w:tc>
      </w:tr>
      <w:tr>
        <w:tblPrEx>
          <w:tblCellMar>
            <w:top w:w="0" w:type="dxa"/>
            <w:left w:w="0" w:type="dxa"/>
            <w:bottom w:w="0" w:type="dxa"/>
            <w:right w:w="0" w:type="dxa"/>
          </w:tblCellMar>
        </w:tblPrEx>
        <w:trPr>
          <w:trHeight w:val="428"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jc w:val="left"/>
              <w:rPr>
                <w:rFonts w:ascii="微软雅黑" w:hAnsi="微软雅黑" w:eastAsia="微软雅黑" w:cs="宋体"/>
                <w:spacing w:val="8"/>
                <w:kern w:val="0"/>
                <w:sz w:val="26"/>
                <w:szCs w:val="26"/>
              </w:rPr>
            </w:pPr>
          </w:p>
        </w:tc>
        <w:tc>
          <w:tcPr>
            <w:tcW w:w="23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hint="eastAsia" w:ascii="宋体" w:hAnsi="宋体" w:eastAsia="宋体" w:cs="宋体"/>
                <w:color w:val="000000"/>
                <w:spacing w:val="8"/>
                <w:kern w:val="0"/>
                <w:sz w:val="20"/>
                <w:szCs w:val="20"/>
              </w:rPr>
            </w:pPr>
          </w:p>
        </w:tc>
        <w:tc>
          <w:tcPr>
            <w:tcW w:w="664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200" w:lineRule="exact"/>
              <w:jc w:val="center"/>
            </w:pPr>
            <w:r>
              <w:rPr>
                <w:rFonts w:hint="eastAsia"/>
              </w:rPr>
              <w:t>注：怃恤金之和不应高于工亡职工生前的工资</w:t>
            </w:r>
          </w:p>
        </w:tc>
      </w:tr>
    </w:tbl>
    <w:p>
      <w:pPr>
        <w:widowControl/>
        <w:shd w:val="clear" w:color="auto" w:fill="FFFFFF"/>
        <w:jc w:val="left"/>
        <w:rPr>
          <w:rFonts w:hint="eastAsia"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1、对于5级和6级伤残职工，用人单位难以安排工作的要按月发放伤残津贴（安排工作的不发伤残津贴）</w:t>
      </w:r>
    </w:p>
    <w:p>
      <w:pPr>
        <w:widowControl/>
        <w:shd w:val="clear" w:color="auto" w:fill="FFFFFF"/>
        <w:jc w:val="left"/>
        <w:rPr>
          <w:rFonts w:hint="eastAsia"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2、一次性伤残就业补助金和一次性伤残医疗补助金是在职工与用人单位解除或者终止劳动关系才支付。工伤职工自愿提出解除或终止劳动关系，离退休时间不满5年的，每少一年减少20%，减少最多不能超过90%。</w:t>
      </w:r>
    </w:p>
    <w:p>
      <w:pPr>
        <w:widowControl/>
        <w:shd w:val="clear" w:color="auto" w:fill="FFFFFF"/>
        <w:jc w:val="left"/>
        <w:rPr>
          <w:rFonts w:hint="eastAsia" w:ascii="微软雅黑" w:hAnsi="微软雅黑" w:eastAsia="微软雅黑" w:cs="宋体"/>
          <w:spacing w:val="8"/>
          <w:kern w:val="0"/>
          <w:sz w:val="26"/>
          <w:szCs w:val="26"/>
        </w:rPr>
      </w:pPr>
      <w:r>
        <w:rPr>
          <w:rFonts w:hint="eastAsia" w:ascii="宋体" w:hAnsi="宋体" w:eastAsia="宋体" w:cs="宋体"/>
          <w:color w:val="000000"/>
          <w:spacing w:val="8"/>
          <w:kern w:val="0"/>
          <w:sz w:val="18"/>
          <w:szCs w:val="18"/>
        </w:rPr>
        <w:t>3、五级至十级伤残职工解除或终止劳动关系，工伤职工达到法定退休年龄并办理退休手续的，不享受一次性工伤医疗补助金和伤残就业补助金。</w:t>
      </w:r>
    </w:p>
    <w:p>
      <w:pPr>
        <w:widowControl/>
        <w:shd w:val="clear" w:color="auto" w:fill="FFFFFF"/>
        <w:jc w:val="left"/>
        <w:rPr>
          <w:rFonts w:hint="eastAsia" w:ascii="微软雅黑" w:hAnsi="微软雅黑" w:eastAsia="微软雅黑" w:cs="宋体"/>
          <w:spacing w:val="8"/>
          <w:kern w:val="0"/>
          <w:sz w:val="26"/>
          <w:szCs w:val="26"/>
        </w:rPr>
      </w:pPr>
      <w:bookmarkStart w:id="0" w:name="_GoBack"/>
      <w:bookmarkEnd w:id="0"/>
    </w:p>
    <w:sectPr>
      <w:pgSz w:w="11906" w:h="16838"/>
      <w:pgMar w:top="1157" w:right="1134" w:bottom="1157"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OGVlOGRlYWU1ODM2NDA0MDcyOWUzYjc0ZGFlMGUifQ=="/>
  </w:docVars>
  <w:rsids>
    <w:rsidRoot w:val="00627CA4"/>
    <w:rsid w:val="004D722F"/>
    <w:rsid w:val="00627CA4"/>
    <w:rsid w:val="09A452C2"/>
    <w:rsid w:val="1D442334"/>
    <w:rsid w:val="3E5D3BA4"/>
    <w:rsid w:val="45476046"/>
    <w:rsid w:val="5223771C"/>
    <w:rsid w:val="53545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autoRedefine/>
    <w:qFormat/>
    <w:uiPriority w:val="22"/>
    <w:rPr>
      <w:b/>
      <w:bCs/>
    </w:rPr>
  </w:style>
  <w:style w:type="character" w:styleId="7">
    <w:name w:val="Hyperlink"/>
    <w:basedOn w:val="5"/>
    <w:autoRedefine/>
    <w:semiHidden/>
    <w:unhideWhenUsed/>
    <w:qFormat/>
    <w:uiPriority w:val="99"/>
    <w:rPr>
      <w:color w:val="0000FF"/>
      <w:u w:val="single"/>
    </w:rPr>
  </w:style>
  <w:style w:type="character" w:customStyle="1" w:styleId="8">
    <w:name w:val="标题 2 Char"/>
    <w:basedOn w:val="5"/>
    <w:link w:val="2"/>
    <w:autoRedefine/>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4407</Words>
  <Characters>4653</Characters>
  <Lines>109</Lines>
  <Paragraphs>30</Paragraphs>
  <TotalTime>8</TotalTime>
  <ScaleCrop>false</ScaleCrop>
  <LinksUpToDate>false</LinksUpToDate>
  <CharactersWithSpaces>4699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2023-11-08T02:34:00Z</dcterms:created>
  <dc:creator>PC</dc:creator>
  <cp:lastModifiedBy>Administrator</cp:lastModifiedBy>
  <dcterms:modified xsi:type="dcterms:W3CDTF">2024-04-01T07:51:00Z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C4E0C34D04FE4878B5AC1C21D81CFD5B_12</vt:lpwstr>
  </property>
</Properties>
</file>